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E5" w:rsidRDefault="00D534F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О сроках присуждения премий Губернатора Свердловской области для обучающихся образовательных организаций, расположенных на территории Свердловской области по итогам 2021/2022 учебного </w:t>
      </w:r>
      <w:r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2C1AE5" w:rsidRDefault="002C1AE5">
      <w:pPr>
        <w:ind w:hanging="108"/>
        <w:jc w:val="both"/>
        <w:rPr>
          <w:rFonts w:ascii="Liberation Serif" w:hAnsi="Liberation Serif" w:cs="Liberation Serif"/>
          <w:sz w:val="26"/>
          <w:szCs w:val="26"/>
        </w:rPr>
      </w:pPr>
    </w:p>
    <w:p w:rsidR="002C1AE5" w:rsidRDefault="00D534F1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Премии Губернатора Свердловской области для обучающихся образовательных организаций, расположенных на территории Свердловской области (далее – премии), присуждаются одновременно победителям и призерам всероссийской олимпиады школьников (далее – олимп</w:t>
      </w:r>
      <w:r>
        <w:rPr>
          <w:rFonts w:ascii="Liberation Serif" w:hAnsi="Liberation Serif" w:cs="Liberation Serif"/>
          <w:bCs/>
          <w:sz w:val="28"/>
          <w:szCs w:val="28"/>
        </w:rPr>
        <w:t>иада) по итогам проведения регионального и заключительного этапов олимпиады и победителям областных конкурсных мероприятий текущего учебного года, проведение которых регламентируется Министерством образования и молодежной политики Свердловской области, в с</w:t>
      </w:r>
      <w:r>
        <w:rPr>
          <w:rFonts w:ascii="Liberation Serif" w:hAnsi="Liberation Serif" w:cs="Liberation Serif"/>
          <w:bCs/>
          <w:sz w:val="28"/>
          <w:szCs w:val="28"/>
        </w:rPr>
        <w:t>оответствии со списками, утверждаемыми распоряжением Губернатора Свердловской области.</w:t>
      </w:r>
    </w:p>
    <w:p w:rsidR="002C1AE5" w:rsidRDefault="00D534F1">
      <w:pPr>
        <w:widowControl w:val="0"/>
        <w:autoSpaceDE w:val="0"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Заключительный этап олимпиады завершается 30 апреля 2022 года. Окончательные итоги будут подведены к концу мая текущего года. </w:t>
      </w:r>
    </w:p>
    <w:p w:rsidR="002C1AE5" w:rsidRDefault="00D534F1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Проведение областных конкурсных мероприяти</w:t>
      </w:r>
      <w:r>
        <w:rPr>
          <w:rFonts w:ascii="Liberation Serif" w:hAnsi="Liberation Serif" w:cs="Liberation Serif"/>
          <w:bCs/>
          <w:sz w:val="28"/>
          <w:szCs w:val="28"/>
        </w:rPr>
        <w:t>й 2021/2022 учебного года завершится к 1 июля 2022 года.</w:t>
      </w:r>
    </w:p>
    <w:p w:rsidR="002C1AE5" w:rsidRDefault="00D534F1">
      <w:pPr>
        <w:widowControl w:val="0"/>
        <w:autoSpaceDE w:val="0"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Министерство представляет Губернатору Свердловской области списки кандидатов на соискание премий ежегодно до 1 августа текущего года.</w:t>
      </w:r>
    </w:p>
    <w:p w:rsidR="002C1AE5" w:rsidRDefault="00D534F1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Выплата премий обучающимся будет осуществлена не позднее 10 сентя</w:t>
      </w:r>
      <w:r>
        <w:rPr>
          <w:rFonts w:ascii="Liberation Serif" w:hAnsi="Liberation Serif" w:cs="Liberation Serif"/>
          <w:sz w:val="28"/>
          <w:szCs w:val="28"/>
        </w:rPr>
        <w:t>бря 2022 года.</w:t>
      </w:r>
    </w:p>
    <w:p w:rsidR="002C1AE5" w:rsidRDefault="00D534F1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получения дополнительной информации (реквизиты лицевого счета, открытого в российской кредитной организации на имя лауреата премии Губернатора Свердловской области, реквизиты счета банковской карты «Мир») с кандидатами на соискание преми</w:t>
      </w:r>
      <w:r>
        <w:rPr>
          <w:rFonts w:ascii="Liberation Serif" w:hAnsi="Liberation Serif" w:cs="Liberation Serif"/>
          <w:sz w:val="28"/>
          <w:szCs w:val="28"/>
        </w:rPr>
        <w:t>й свяжутся представители нетиповой образовательной организации «Фонд поддержки талантливых детей и молодежи «Золотое сечение» и государственного автономного нетипового образовательного учреждения Свердловской области «Дворец молодёжи».</w:t>
      </w:r>
    </w:p>
    <w:p w:rsidR="002C1AE5" w:rsidRDefault="00D534F1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 Ука</w:t>
      </w:r>
      <w:r>
        <w:rPr>
          <w:rFonts w:ascii="Liberation Serif" w:hAnsi="Liberation Serif" w:cs="Liberation Serif"/>
          <w:sz w:val="28"/>
          <w:szCs w:val="28"/>
        </w:rPr>
        <w:t>зом Губернатора Свердловской области от 28.10.2021 № 619-УГ «О внесении изменений в Перечень премий Губернатора Свердловской области за выдающиеся достижения в области науки и техники, образования, культуры, литературы и искусства, суммы которых, получаемы</w:t>
      </w:r>
      <w:r>
        <w:rPr>
          <w:rFonts w:ascii="Liberation Serif" w:hAnsi="Liberation Serif" w:cs="Liberation Serif"/>
          <w:sz w:val="28"/>
          <w:szCs w:val="28"/>
        </w:rPr>
        <w:t>е налогоплательщиками, не подлежат налогообложению, утвержденный Указом Губернатора Свердловской области от 04.02.2008 № 87-УГ» премии для обучающихся образовательных организаций, расположенных на территории Свердловской области, не подлежат налогообложени</w:t>
      </w:r>
      <w:r>
        <w:rPr>
          <w:rFonts w:ascii="Liberation Serif" w:hAnsi="Liberation Serif" w:cs="Liberation Serif"/>
          <w:sz w:val="28"/>
          <w:szCs w:val="28"/>
        </w:rPr>
        <w:t>ю.</w:t>
      </w:r>
    </w:p>
    <w:p w:rsidR="002C1AE5" w:rsidRDefault="002C1AE5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2C1AE5" w:rsidRDefault="002C1AE5">
      <w:pPr>
        <w:rPr>
          <w:rFonts w:ascii="Liberation Serif" w:hAnsi="Liberation Serif" w:cs="Liberation Serif"/>
          <w:sz w:val="20"/>
          <w:szCs w:val="20"/>
        </w:rPr>
      </w:pPr>
    </w:p>
    <w:sectPr w:rsidR="002C1AE5">
      <w:headerReference w:type="default" r:id="rId6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34F1">
      <w:r>
        <w:separator/>
      </w:r>
    </w:p>
  </w:endnote>
  <w:endnote w:type="continuationSeparator" w:id="0">
    <w:p w:rsidR="00000000" w:rsidRDefault="00D5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34F1">
      <w:r>
        <w:rPr>
          <w:color w:val="000000"/>
        </w:rPr>
        <w:separator/>
      </w:r>
    </w:p>
  </w:footnote>
  <w:footnote w:type="continuationSeparator" w:id="0">
    <w:p w:rsidR="00000000" w:rsidRDefault="00D5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2F" w:rsidRDefault="00D534F1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674D2F" w:rsidRDefault="00D534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C1AE5"/>
    <w:rsid w:val="002C1AE5"/>
    <w:rsid w:val="00D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6F5F-BEEA-455F-AFA2-A0D789E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Комова Анна Сергеевна</cp:lastModifiedBy>
  <cp:revision>2</cp:revision>
  <cp:lastPrinted>2022-04-11T10:59:00Z</cp:lastPrinted>
  <dcterms:created xsi:type="dcterms:W3CDTF">2022-04-11T12:08:00Z</dcterms:created>
  <dcterms:modified xsi:type="dcterms:W3CDTF">2022-04-11T12:08:00Z</dcterms:modified>
</cp:coreProperties>
</file>