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98" w:rsidRDefault="00AC6398" w:rsidP="00AC6398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</w:pPr>
      <w:r w:rsidRPr="00AC6398"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  <w:t xml:space="preserve">Письмо Министерства просвещения РФ от 4 августа 2022 г. </w:t>
      </w:r>
    </w:p>
    <w:p w:rsidR="00AC6398" w:rsidRPr="00AC6398" w:rsidRDefault="00AC6398" w:rsidP="00AC6398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</w:pPr>
      <w:r w:rsidRPr="00AC6398"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  <w:t>№ ДГ-1913/05 "Об изменениях в законодательстве"</w:t>
      </w:r>
    </w:p>
    <w:p w:rsid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bookmarkStart w:id="0" w:name="text"/>
      <w:bookmarkEnd w:id="0"/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proofErr w:type="spellStart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Минпросвещения</w:t>
      </w:r>
      <w:proofErr w:type="spellEnd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России в связи со вс</w:t>
      </w:r>
      <w:r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туплением в силу 25 июля 2022 года</w:t>
      </w: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 </w:t>
      </w:r>
      <w:hyperlink r:id="rId4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Федерального закона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от 14 июля 2022 г. N 296-ФЗ "О внесении изменения в статью 68 Федерального закона "Об образовании в Российской Федерации" (далее - Федеральный закон) сообщает.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bookmarkStart w:id="1" w:name="_GoBack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В соответствии с Федеральным законом лицам, указанным в </w:t>
      </w:r>
      <w:hyperlink r:id="rId5" w:anchor="block_108842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части 7 статьи 71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Под прочими равными условиями, исходя из положений </w:t>
      </w:r>
      <w:hyperlink r:id="rId6" w:anchor="block_108791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части 4 статьи 68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Федерального закона от 29 декабря 2012 г. N 273-ФЗ "Об образовании в Российской Федерации", следует понимать равенство условий в отношении двух и более поступающих граждан, установленных в отношении результатов вступительных испытаний (при их наличии), результатов освоения образовательной программы основного общего или среднего общего образования, результатов индивидуальных достижений (при наличии), наличия договора о целевом обучении.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В категорию лиц, получающих право на преимущественное зачисление в образовательную организацию на обучение по образовательным программам </w:t>
      </w:r>
      <w:proofErr w:type="gramStart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среднего профессионального образования</w:t>
      </w:r>
      <w:proofErr w:type="gramEnd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входят: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2) дети-инвалиды, инвалиды I и II групп;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bookmarkStart w:id="2" w:name="3"/>
      <w:bookmarkEnd w:id="2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bookmarkStart w:id="3" w:name="1"/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bookmarkEnd w:id="3"/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fldChar w:fldCharType="begin"/>
      </w:r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instrText xml:space="preserve"> HYPERLINK "http://base.garant.ru/185213/" </w:instrText>
      </w:r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fldChar w:fldCharType="separate"/>
      </w:r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Закона</w:t>
      </w:r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fldChar w:fldCharType="end"/>
      </w:r>
      <w:r w:rsidRPr="00AC639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Российской Федерации от 15 мая 1991 г. N 1244-I "О социальной защите граждан, подвергшихся воздействию радиации вследствие катастрофы на Чернобыльской АЭС";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 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9) военнослужащие, которые проходят военную службу </w:t>
      </w:r>
      <w:proofErr w:type="gramStart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по контракту</w:t>
      </w:r>
      <w:proofErr w:type="gramEnd"/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7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подпунктами "б" - "г" пункта 1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, </w:t>
      </w:r>
      <w:hyperlink r:id="rId8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подпунктом "а" пункта 2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и </w:t>
      </w:r>
      <w:hyperlink r:id="rId9" w:anchor="block_513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подпунктами "а" - "в" пункта 3 статьи 51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Федерального закона от 28 марта 1998 г. N 53-ФЗ "О воинской обязанности и военной службе";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11) инвалиды войны, участники боевых действий, а также ветераны боевых действий из числа лиц, указанных в </w:t>
      </w:r>
      <w:hyperlink r:id="rId10" w:anchor="block_131" w:history="1">
        <w:r w:rsidRPr="00AC6398">
          <w:rPr>
            <w:rFonts w:ascii="Liberation Serif" w:eastAsia="Times New Roman" w:hAnsi="Liberation Serif" w:cs="Liberation Serif"/>
            <w:bCs/>
            <w:color w:val="3272C0"/>
            <w:sz w:val="28"/>
            <w:szCs w:val="28"/>
            <w:lang w:eastAsia="ru-RU"/>
          </w:rPr>
          <w:t>подпунктах 1 - 4 пункта 1 статьи 3</w:t>
        </w:r>
      </w:hyperlink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 xml:space="preserve"> Федерального закона от 12 января 1995 г. N 5-ФЗ "О ветеранах";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240" w:lineRule="auto"/>
        <w:ind w:firstLine="708"/>
        <w:jc w:val="both"/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color w:val="464C55"/>
          <w:sz w:val="28"/>
          <w:szCs w:val="28"/>
          <w:lang w:eastAsia="ru-RU"/>
        </w:rPr>
        <w:t>С учётом установленного срока вступления Федерального закона в силу, его положения могут быть применены гражданами и образовательными организациями в рамках приемной кампании на обучение по образовательным программам среднего профессионального образования на 2022 - 2023 учебный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AC6398" w:rsidRPr="00AC6398" w:rsidTr="00AC639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398" w:rsidRPr="00AC6398" w:rsidRDefault="00AC6398" w:rsidP="00AC6398">
            <w:pPr>
              <w:spacing w:after="0" w:line="240" w:lineRule="auto"/>
              <w:ind w:firstLine="708"/>
              <w:jc w:val="both"/>
              <w:rPr>
                <w:rFonts w:ascii="Liberation Serif" w:eastAsia="Times New Roman" w:hAnsi="Liberation Serif" w:cs="Liberation Serif"/>
                <w:bCs/>
                <w:color w:val="5B5E5F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398" w:rsidRPr="00AC6398" w:rsidRDefault="00AC6398" w:rsidP="00AC6398">
            <w:pPr>
              <w:spacing w:after="0" w:line="240" w:lineRule="auto"/>
              <w:ind w:firstLine="708"/>
              <w:jc w:val="both"/>
              <w:rPr>
                <w:rFonts w:ascii="Liberation Serif" w:eastAsia="Times New Roman" w:hAnsi="Liberation Serif" w:cs="Liberation Serif"/>
                <w:bCs/>
                <w:color w:val="5B5E5F"/>
                <w:sz w:val="28"/>
                <w:szCs w:val="28"/>
                <w:lang w:eastAsia="ru-RU"/>
              </w:rPr>
            </w:pPr>
          </w:p>
        </w:tc>
      </w:tr>
    </w:tbl>
    <w:p w:rsidR="00AC6398" w:rsidRPr="00AC6398" w:rsidRDefault="00AC6398" w:rsidP="00AC6398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</w:pPr>
      <w:bookmarkStart w:id="4" w:name="0"/>
      <w:bookmarkEnd w:id="4"/>
      <w:r w:rsidRPr="00AC6398"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  <w:t>25 июля вступил в силу закон о предоставлении льготным категориям граждан преимущественного права зачисления на обучение по образовательным программам среднего профобразования.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  <w:t>Льгота предоставлена в том числе детям-сиротам, детям-инвалидам, детям погибших военнослужащих. Ранее у них было право на приоритетное зачисление только в ВУЗы.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  <w:t>Право на льготное зачисление в техникумы и колледжи получили 13 социально незащищённых категорий. Преимущество отдаётся при успешном прохождении вступительных экзаменов.</w:t>
      </w:r>
    </w:p>
    <w:p w:rsidR="00AC6398" w:rsidRPr="00AC6398" w:rsidRDefault="00AC6398" w:rsidP="00AC6398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</w:pPr>
      <w:r w:rsidRPr="00AC6398">
        <w:rPr>
          <w:rFonts w:ascii="Liberation Serif" w:eastAsia="Times New Roman" w:hAnsi="Liberation Serif" w:cs="Liberation Serif"/>
          <w:bCs/>
          <w:vanish/>
          <w:color w:val="464C55"/>
          <w:sz w:val="28"/>
          <w:szCs w:val="28"/>
          <w:lang w:eastAsia="ru-RU"/>
        </w:rPr>
        <w:t>Социальный статус подтверждается путём предоставления дополнительных документов и сведений к заявлению о приёме в образовательную организацию. Льготой можно воспользоваться уже в этом году.</w:t>
      </w:r>
    </w:p>
    <w:bookmarkEnd w:id="1"/>
    <w:p w:rsidR="0001450A" w:rsidRPr="00AC6398" w:rsidRDefault="0001450A" w:rsidP="00AC639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01450A" w:rsidRPr="00AC6398" w:rsidSect="00AC6398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98"/>
    <w:rsid w:val="0001450A"/>
    <w:rsid w:val="00A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9C02-46B5-45E6-86EC-67E00203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39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6398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2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84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7840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291362/6cf34816dc52ae8870d524b8ed6399a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291362/4fc81bd708668197a291fdc62307ca74/" TargetMode="External"/><Relationship Id="rId10" Type="http://schemas.openxmlformats.org/officeDocument/2006/relationships/hyperlink" Target="http://base.garant.ru/10103548/4d6cc5b8235f826b2c67847b967f8695/" TargetMode="External"/><Relationship Id="rId4" Type="http://schemas.openxmlformats.org/officeDocument/2006/relationships/hyperlink" Target="http://base.garant.ru/404993797/" TargetMode="External"/><Relationship Id="rId9" Type="http://schemas.openxmlformats.org/officeDocument/2006/relationships/hyperlink" Target="http://base.garant.ru/178405/afa6a9ba04392e1cfe1c09aeb8a7e5f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Тямко Елена Германовна</dc:creator>
  <cp:keywords/>
  <dc:description/>
  <cp:lastModifiedBy>Тямко Елена Германовна</cp:lastModifiedBy>
  <cp:revision>1</cp:revision>
  <dcterms:created xsi:type="dcterms:W3CDTF">2022-08-17T03:50:00Z</dcterms:created>
  <dcterms:modified xsi:type="dcterms:W3CDTF">2022-08-17T03:56:00Z</dcterms:modified>
</cp:coreProperties>
</file>