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0E" w:rsidRDefault="00731694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МЕТОДИКА</w:t>
      </w:r>
    </w:p>
    <w:p w:rsidR="0003350E" w:rsidRDefault="00731694">
      <w:pPr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проведения конкурса 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 на территории Свердловской области, </w:t>
      </w:r>
      <w:r>
        <w:rPr>
          <w:rFonts w:ascii="Liberation Serif" w:hAnsi="Liberation Serif" w:cs="Liberation Serif"/>
          <w:b/>
          <w:sz w:val="28"/>
          <w:szCs w:val="28"/>
        </w:rPr>
        <w:br/>
        <w:t xml:space="preserve">на распределение контрольных цифр приема граждан на обучение </w:t>
      </w:r>
      <w:r>
        <w:rPr>
          <w:rFonts w:ascii="Liberation Serif" w:hAnsi="Liberation Serif" w:cs="Liberation Serif"/>
          <w:b/>
          <w:sz w:val="28"/>
          <w:szCs w:val="28"/>
        </w:rPr>
        <w:br/>
        <w:t xml:space="preserve">по образовательным программам среднего профессионального образования за счет бюджетных ассигнований областного бюджета </w:t>
      </w:r>
      <w:r>
        <w:rPr>
          <w:rFonts w:ascii="Liberation Serif" w:hAnsi="Liberation Serif" w:cs="Liberation Serif"/>
          <w:b/>
          <w:sz w:val="28"/>
          <w:szCs w:val="28"/>
        </w:rPr>
        <w:br/>
        <w:t>на 2024/2025 учебный год</w:t>
      </w:r>
    </w:p>
    <w:p w:rsidR="0003350E" w:rsidRDefault="0003350E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03350E" w:rsidRDefault="0003350E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03350E" w:rsidRDefault="0073169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1. Настоящая методика определяет правила и сроки проведения конкурса </w:t>
      </w:r>
      <w:r>
        <w:rPr>
          <w:rFonts w:ascii="Liberation Serif" w:hAnsi="Liberation Serif" w:cs="Liberation Serif"/>
          <w:sz w:val="28"/>
          <w:szCs w:val="28"/>
        </w:rPr>
        <w:br/>
        <w:t xml:space="preserve">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 на территории Свердловской области (далее – образовательные организации), на распределение контрольных цифр приема граждан </w:t>
      </w:r>
      <w:r>
        <w:rPr>
          <w:rFonts w:ascii="Liberation Serif" w:hAnsi="Liberation Serif" w:cs="Liberation Serif"/>
          <w:sz w:val="28"/>
          <w:szCs w:val="28"/>
        </w:rPr>
        <w:br/>
        <w:t>по профессиям, специальностям на обучение по образовательным программам среднего профессионального образования за счет бюджетных ассигнований областного бюджета на 2024/2025 учебный год</w:t>
      </w:r>
      <w:r>
        <w:rPr>
          <w:rFonts w:ascii="Liberation Serif" w:hAnsi="Liberation Serif" w:cs="Liberation Serif"/>
          <w:sz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(далее – конкурс).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 Конкурс проводится Министерством образования и молодежной политики Свердловской области (далее – Министерство).</w:t>
      </w:r>
    </w:p>
    <w:p w:rsidR="0003350E" w:rsidRDefault="00731694">
      <w:pPr>
        <w:pStyle w:val="Default"/>
        <w:ind w:firstLine="708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>
        <w:rPr>
          <w:rFonts w:ascii="Liberation Serif" w:hAnsi="Liberation Serif" w:cs="Liberation Serif"/>
          <w:color w:val="auto"/>
          <w:sz w:val="28"/>
          <w:szCs w:val="28"/>
        </w:rPr>
        <w:t>3. Образовательные организации подают отдельную заявку по каждой заявленной укрупненной группе профессий и по каждой заявленной укрупненной группе специальностей.</w:t>
      </w:r>
    </w:p>
    <w:p w:rsidR="0003350E" w:rsidRDefault="00731694">
      <w:pPr>
        <w:pStyle w:val="Default"/>
        <w:ind w:firstLine="708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>
        <w:rPr>
          <w:rFonts w:ascii="Liberation Serif" w:hAnsi="Liberation Serif" w:cs="Liberation Serif"/>
          <w:color w:val="auto"/>
          <w:sz w:val="28"/>
          <w:szCs w:val="28"/>
        </w:rPr>
        <w:t xml:space="preserve">4. От одной образовательной организации может быть подана только одна заявка на участие в конкурсе по каждой заявленной укрупненной группе профессий и по каждой заявленной укрупненной группе специальностей. </w:t>
      </w:r>
    </w:p>
    <w:p w:rsidR="0003350E" w:rsidRDefault="00731694">
      <w:pPr>
        <w:autoSpaceDE w:val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5. Заявки допущенных к участию в конкурсе образовательных организаций на распределение контрольных цифр приема (далее – КЦП) по программам подготовки лиц с ограниченными возможностями здоровья (далее – ОВЗ) рассматриваются конкурсной комиссией по распределению контрольных цифр приема граждан в образовательные организации, осуществляющие образовательную деятельность по образовательным программам среднего профессионального образования на территории Свердловской области, </w:t>
      </w:r>
      <w:r>
        <w:rPr>
          <w:rFonts w:ascii="Liberation Serif" w:hAnsi="Liberation Serif" w:cs="Liberation Serif"/>
          <w:sz w:val="28"/>
          <w:szCs w:val="28"/>
        </w:rPr>
        <w:br/>
        <w:t xml:space="preserve">на обучение по профессиям, специальностям среднего профессионального образования за счет бюджетных ассигнований областного бюджета </w:t>
      </w:r>
      <w:r>
        <w:rPr>
          <w:rFonts w:ascii="Liberation Serif" w:hAnsi="Liberation Serif" w:cs="Liberation Serif"/>
          <w:sz w:val="28"/>
          <w:szCs w:val="28"/>
        </w:rPr>
        <w:br/>
        <w:t>на 2024/2025 учебный год (далее – конкурсная комиссия) в общем порядке.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6. КЦП по программам подготовки лиц с ОВЗ и инвалидностью распределяются образовательным организациям с учетом 100-процентного комплектования групп контингента лицами с ОВЗ и 100-процентного комплектования групп контингента лицами с инвалидностью. 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7. Конкурсная комиссия оценивает и сопоставляет заявки допущенных </w:t>
      </w:r>
      <w:r>
        <w:rPr>
          <w:rFonts w:ascii="Liberation Serif" w:hAnsi="Liberation Serif" w:cs="Liberation Serif"/>
          <w:sz w:val="28"/>
          <w:szCs w:val="28"/>
        </w:rPr>
        <w:br/>
        <w:t xml:space="preserve">к участию в конкурсе образовательных организаций на распределение КЦП в целях выявления лучших условий для подготовки кадров в соответствии </w:t>
      </w:r>
      <w:r>
        <w:rPr>
          <w:rFonts w:ascii="Liberation Serif" w:hAnsi="Liberation Serif" w:cs="Liberation Serif"/>
          <w:sz w:val="28"/>
          <w:szCs w:val="28"/>
        </w:rPr>
        <w:br/>
        <w:t>с установленными критериями принятия решения о распределении КЦП.</w:t>
      </w:r>
    </w:p>
    <w:p w:rsidR="0003350E" w:rsidRDefault="0073169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8. КЦП распределяются с выделением очной, очно-заочной и заочной форм обучения на базе основного общего и среднего общего образования по имеющим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государственную аккредитацию образовательным программам, а также </w:t>
      </w:r>
      <w:r>
        <w:rPr>
          <w:rFonts w:ascii="Liberation Serif" w:hAnsi="Liberation Serif" w:cs="Liberation Serif"/>
          <w:sz w:val="28"/>
          <w:szCs w:val="28"/>
        </w:rPr>
        <w:br/>
        <w:t>на обучение по не имеющим государственной аккредитации образовательным программам среднего профессионального образования (программам подготовки квалифицированных рабочих, служащих, программам подготовки специалистов среднего звена и программам среднего профессионального образования, интегрированным с основными образовательными программами основного общего и среднего общего образования) по профессиям, специальностям среднего профессионального образования.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9. КЦП распределяются на обучение по не имеющим государственной аккредитации образовательным программам среднего профессионального образования только в случае, если государственная аккредитация по указанным образовательным программам ранее не проводилась.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10. Министерство не менее чем за 30 дней до дня вскрытия конвертов </w:t>
      </w:r>
      <w:r>
        <w:rPr>
          <w:rFonts w:ascii="Liberation Serif" w:hAnsi="Liberation Serif" w:cs="Liberation Serif"/>
          <w:sz w:val="28"/>
          <w:szCs w:val="28"/>
        </w:rPr>
        <w:br/>
        <w:t xml:space="preserve">с заявками размещает на официальном сайте Министерства в информационно-телекоммуникационной сети «Интернет» объявление о проведении конкурса, </w:t>
      </w:r>
      <w:r>
        <w:rPr>
          <w:rFonts w:ascii="Liberation Serif" w:hAnsi="Liberation Serif" w:cs="Liberation Serif"/>
          <w:sz w:val="28"/>
          <w:szCs w:val="28"/>
        </w:rPr>
        <w:br/>
        <w:t>в котором указываются: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1) предмет конкурса;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2) требования к участникам конкурса;</w:t>
      </w:r>
    </w:p>
    <w:p w:rsidR="0003350E" w:rsidRDefault="00731694">
      <w:pPr>
        <w:autoSpaceDE w:val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3)</w:t>
      </w:r>
      <w:r>
        <w:rPr>
          <w:rFonts w:ascii="Liberation Serif" w:hAnsi="Liberation Serif" w:cs="Liberation Serif"/>
          <w:sz w:val="28"/>
          <w:szCs w:val="28"/>
          <w:lang w:val="en-US"/>
        </w:rPr>
        <w:t> </w:t>
      </w:r>
      <w:r>
        <w:rPr>
          <w:rFonts w:ascii="Liberation Serif" w:hAnsi="Liberation Serif" w:cs="Liberation Serif"/>
          <w:sz w:val="28"/>
          <w:szCs w:val="28"/>
        </w:rPr>
        <w:t>объемы КЦП, распределяемых в ходе проведения конкурса;</w:t>
      </w:r>
    </w:p>
    <w:p w:rsidR="0003350E" w:rsidRDefault="0073169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4) дата и время начала срока подачи заявок;</w:t>
      </w:r>
    </w:p>
    <w:p w:rsidR="0003350E" w:rsidRDefault="0073169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5) место подачи заявок;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6) требования к содержанию и оформлению заявки;</w:t>
      </w:r>
    </w:p>
    <w:p w:rsidR="0003350E" w:rsidRDefault="0073169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7)</w:t>
      </w:r>
      <w:r>
        <w:rPr>
          <w:rFonts w:ascii="Liberation Serif" w:hAnsi="Liberation Serif" w:cs="Liberation Serif"/>
          <w:sz w:val="28"/>
          <w:szCs w:val="28"/>
          <w:lang w:val="en-US"/>
        </w:rPr>
        <w:t> </w:t>
      </w:r>
      <w:r>
        <w:rPr>
          <w:rFonts w:ascii="Liberation Serif" w:hAnsi="Liberation Serif" w:cs="Liberation Serif"/>
          <w:sz w:val="28"/>
          <w:szCs w:val="28"/>
        </w:rPr>
        <w:t xml:space="preserve">дата и время окончания срока приема заявок и вскрытия конвертов </w:t>
      </w:r>
      <w:r>
        <w:rPr>
          <w:rFonts w:ascii="Liberation Serif" w:hAnsi="Liberation Serif" w:cs="Liberation Serif"/>
          <w:sz w:val="28"/>
          <w:szCs w:val="28"/>
        </w:rPr>
        <w:br/>
        <w:t>с заявками на участие в конкурсе;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8) процедура рассмотрения заявок;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9) процедура оценки заявок и критерии принятия решения;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10) дата объявления результатов конкурса.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11. Конкурс осуществляется на основании заявок, поданных образовательными организациями.</w:t>
      </w:r>
    </w:p>
    <w:p w:rsidR="0003350E" w:rsidRPr="00D60ADF" w:rsidRDefault="00731694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D60ADF">
        <w:rPr>
          <w:rFonts w:ascii="Liberation Serif" w:hAnsi="Liberation Serif" w:cs="Liberation Serif"/>
          <w:b/>
          <w:sz w:val="28"/>
          <w:szCs w:val="28"/>
        </w:rPr>
        <w:t>12. Заявка направляется:</w:t>
      </w:r>
    </w:p>
    <w:p w:rsidR="0003350E" w:rsidRDefault="0073169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1) в модуль региональной базы данных «Сервис сбора/распределения заявок по контрольным цифрам приема» государственной информационной системы Свердловской области «Единое цифровое пространство», расположенной </w:t>
      </w:r>
      <w:r>
        <w:rPr>
          <w:rFonts w:ascii="Liberation Serif" w:hAnsi="Liberation Serif" w:cs="Liberation Serif"/>
          <w:sz w:val="28"/>
          <w:szCs w:val="28"/>
        </w:rPr>
        <w:br/>
        <w:t>по адресу: http://10.0.19.250:8080/;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2) на электронном носителе.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Комплект документов, входящих в состав заявки на электронном носителе, подписывается электронной цифровой подписью руководителя образовательной организации или живой подписью с печатью образовательной организации. Заявка не требует предоставления подтверждений на бумажном носителе.</w:t>
      </w:r>
    </w:p>
    <w:p w:rsidR="0003350E" w:rsidRPr="00D60ADF" w:rsidRDefault="00731694">
      <w:pPr>
        <w:ind w:firstLine="709"/>
        <w:jc w:val="both"/>
        <w:rPr>
          <w:b/>
        </w:rPr>
      </w:pPr>
      <w:r w:rsidRPr="00D60ADF">
        <w:rPr>
          <w:rFonts w:ascii="Liberation Serif" w:hAnsi="Liberation Serif" w:cs="Liberation Serif"/>
          <w:b/>
          <w:sz w:val="28"/>
          <w:szCs w:val="28"/>
        </w:rPr>
        <w:t>13. Состав заявки на электронном носителе образовательной организации: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1) копия лицензии на осуществление образовательной деятельности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  <w:t>с приложениями, содержащими информацию о профессиях, специальностях среднего профессионального образования (на обучение по образовательным программам подготовки квалифицированных рабочих, служащих, специалистов среднего звена), заявляемым на конкурс, или выписка из реестра лицензий;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lastRenderedPageBreak/>
        <w:t xml:space="preserve">2) копия аккредитации с приложениями, содержащими информацию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  <w:t>об основных профессиональных образовательных программам по укрупненным группам профессий, специальностей;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3) копия титульной страницы Устава образовательной организации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  <w:t>и страницы с полным наименованием и адресом образовательной организации;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4) копия документа, подтверждающего полномочия руководителя образовательной организации на осуществление действий от имени участника конкурса (копия документа о назначении на должность руководителя образовательной организации);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5) доверенность на лицо, уполномоченное действовать от имени образовательной организации, подписанная руководителем участника конкурса, – в случае невозможности оформления документов на конкурс за подписью директора образовательной организации (приложение № 4);</w:t>
      </w:r>
    </w:p>
    <w:p w:rsidR="0003350E" w:rsidRDefault="0073169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6) заявление на участие в конкурсе (оформляется на фирменном бланке образовательной организации – участника конкурса)</w:t>
      </w:r>
      <w:r>
        <w:rPr>
          <w:rFonts w:ascii="Liberation Serif" w:hAnsi="Liberation Serif" w:cs="Liberation Serif"/>
          <w:sz w:val="28"/>
          <w:szCs w:val="28"/>
        </w:rPr>
        <w:t xml:space="preserve"> согласно приложению № 1 </w:t>
      </w:r>
      <w:r>
        <w:rPr>
          <w:rFonts w:ascii="Liberation Serif" w:hAnsi="Liberation Serif" w:cs="Liberation Serif"/>
          <w:sz w:val="28"/>
          <w:szCs w:val="28"/>
          <w:shd w:val="clear" w:color="auto" w:fill="FFFF00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 объявлению о проведении конкурса</w:t>
      </w:r>
      <w:r>
        <w:rPr>
          <w:rFonts w:ascii="Liberation Serif" w:hAnsi="Liberation Serif" w:cs="Liberation Serif"/>
          <w:sz w:val="28"/>
          <w:szCs w:val="28"/>
        </w:rPr>
        <w:t xml:space="preserve">; 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7) предложения по распределению КЦП на 2024/2025 учебный год согласно приложению № 2 к объявлению о проведении конкурса;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8) критерии деятельности образовательной организации (приложение № 5);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9) документ в формате </w:t>
      </w:r>
      <w:proofErr w:type="spellStart"/>
      <w:r>
        <w:rPr>
          <w:rFonts w:ascii="Liberation Serif" w:hAnsi="Liberation Serif" w:cs="Liberation Serif"/>
          <w:sz w:val="28"/>
          <w:szCs w:val="28"/>
        </w:rPr>
        <w:t>Excel</w:t>
      </w:r>
      <w:proofErr w:type="spellEnd"/>
      <w:r>
        <w:rPr>
          <w:rFonts w:ascii="Liberation Serif" w:hAnsi="Liberation Serif" w:cs="Liberation Serif"/>
          <w:sz w:val="28"/>
          <w:szCs w:val="28"/>
        </w:rPr>
        <w:t>, содержащий файл со сведениями о критериях деятельности по образовательной организации;</w:t>
      </w:r>
    </w:p>
    <w:p w:rsidR="0003350E" w:rsidRDefault="0073169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10) документы согласно критериям принятия решения о распределении контрольных цифр приема граждан в образовательные организации, осуществляющие образовательную деятельность по образовательным программам среднего профессионального образования на территории Свердловской области, </w:t>
      </w:r>
      <w:r>
        <w:rPr>
          <w:rFonts w:ascii="Liberation Serif" w:hAnsi="Liberation Serif" w:cs="Liberation Serif"/>
          <w:sz w:val="28"/>
          <w:szCs w:val="28"/>
        </w:rPr>
        <w:br/>
        <w:t>на обучение по профессиям, специальностям за счет бюджетных ассигнований областного бюджета на 2024/2025 учебный год;</w:t>
      </w:r>
    </w:p>
    <w:p w:rsidR="0003350E" w:rsidRPr="00D60ADF" w:rsidRDefault="00731694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D60ADF">
        <w:rPr>
          <w:rFonts w:ascii="Liberation Serif" w:hAnsi="Liberation Serif" w:cs="Liberation Serif"/>
          <w:b/>
          <w:sz w:val="28"/>
          <w:szCs w:val="28"/>
        </w:rPr>
        <w:t>11) для образовательных организаций, функционирующих на базе образовательных организаций высшего образования, – согласие органа государственной власти (государственного органа), осуществляющего функции и полномочия учредителя в отношении образовательной организации, на участие в конкурсе;</w:t>
      </w:r>
    </w:p>
    <w:p w:rsidR="0003350E" w:rsidRPr="00D60ADF" w:rsidRDefault="00731694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D60ADF">
        <w:rPr>
          <w:rFonts w:ascii="Liberation Serif" w:hAnsi="Liberation Serif" w:cs="Liberation Serif"/>
          <w:b/>
          <w:sz w:val="28"/>
          <w:szCs w:val="28"/>
        </w:rPr>
        <w:t>12) для образовательных организаций, закрепленных в порядке апробации передачи полномочий за отраслевыми исполнительными органами государственной власти Свердловской области, – согласие отраслевого исполнительного органа государственной власти Свердловской области.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14. КЦП также могут быть установлены по профессиям, специальностям </w:t>
      </w:r>
      <w:r>
        <w:rPr>
          <w:rFonts w:ascii="Liberation Serif" w:hAnsi="Liberation Serif" w:cs="Liberation Serif"/>
          <w:sz w:val="28"/>
          <w:szCs w:val="28"/>
        </w:rPr>
        <w:br/>
        <w:t xml:space="preserve">и (или) укрупненным группам профессий, специальностей для обучения </w:t>
      </w:r>
      <w:r>
        <w:rPr>
          <w:rFonts w:ascii="Liberation Serif" w:hAnsi="Liberation Serif" w:cs="Liberation Serif"/>
          <w:sz w:val="28"/>
          <w:szCs w:val="28"/>
        </w:rPr>
        <w:br/>
        <w:t xml:space="preserve">по не имеющим государственной аккредитации образовательным программам среднего профессионального образования, если государственная аккредитация </w:t>
      </w:r>
      <w:r>
        <w:rPr>
          <w:rFonts w:ascii="Liberation Serif" w:hAnsi="Liberation Serif" w:cs="Liberation Serif"/>
          <w:sz w:val="28"/>
          <w:szCs w:val="28"/>
        </w:rPr>
        <w:br/>
        <w:t xml:space="preserve">по указанным образовательным программам ранее не проводилась, при условии исполнения образовательной организацией обязательства получить государственную аккредитацию по указанным образовательным программам </w:t>
      </w:r>
      <w:r>
        <w:rPr>
          <w:rFonts w:ascii="Liberation Serif" w:hAnsi="Liberation Serif" w:cs="Liberation Serif"/>
          <w:sz w:val="28"/>
          <w:szCs w:val="28"/>
        </w:rPr>
        <w:br/>
        <w:t xml:space="preserve">в течение двух лет с момента установления КЦП, но не позднее чем </w:t>
      </w:r>
      <w:r>
        <w:rPr>
          <w:rFonts w:ascii="Liberation Serif" w:hAnsi="Liberation Serif" w:cs="Liberation Serif"/>
          <w:sz w:val="28"/>
          <w:szCs w:val="28"/>
        </w:rPr>
        <w:br/>
        <w:t xml:space="preserve">до завершения обучения обучающихся, принятых на обучение в пределах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установленных КЦП (далее – обязательство), и установление КЦП </w:t>
      </w:r>
      <w:r>
        <w:rPr>
          <w:rFonts w:ascii="Liberation Serif" w:hAnsi="Liberation Serif" w:cs="Liberation Serif"/>
          <w:sz w:val="28"/>
          <w:szCs w:val="28"/>
        </w:rPr>
        <w:br/>
        <w:t>по соответствующим профессиям, специальностям согласно приложению № 3.</w:t>
      </w:r>
    </w:p>
    <w:p w:rsidR="0003350E" w:rsidRPr="00D60ADF" w:rsidRDefault="00731694">
      <w:pPr>
        <w:ind w:firstLine="709"/>
        <w:jc w:val="both"/>
        <w:rPr>
          <w:b/>
        </w:rPr>
      </w:pPr>
      <w:r w:rsidRPr="00D60ADF">
        <w:rPr>
          <w:rFonts w:ascii="Liberation Serif" w:hAnsi="Liberation Serif" w:cs="Liberation Serif"/>
          <w:b/>
          <w:sz w:val="28"/>
          <w:szCs w:val="28"/>
        </w:rPr>
        <w:t>Обязательство должно быть согласованно с: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отделом профессионального образования – для образовательных организаций, подведомственных Министерству, за исключением образовательных организаций, реализующих программы по укрупненной группе 44.00.00 «Образование и педагогические науки», а также частных образовательных организаций;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отделом высшего образования и развития педагогических кадров – </w:t>
      </w:r>
      <w:r>
        <w:rPr>
          <w:rFonts w:ascii="Liberation Serif" w:hAnsi="Liberation Serif" w:cs="Liberation Serif"/>
          <w:sz w:val="28"/>
          <w:szCs w:val="28"/>
        </w:rPr>
        <w:br/>
        <w:t xml:space="preserve">для образовательных организаций, подведомственных Министерству </w:t>
      </w:r>
      <w:r>
        <w:rPr>
          <w:rFonts w:ascii="Liberation Serif" w:hAnsi="Liberation Serif" w:cs="Liberation Serif"/>
          <w:sz w:val="28"/>
          <w:szCs w:val="28"/>
        </w:rPr>
        <w:br/>
        <w:t xml:space="preserve">и реализующих программы по укрупненной группе 44.00.00 «Образование </w:t>
      </w:r>
      <w:r>
        <w:rPr>
          <w:rFonts w:ascii="Liberation Serif" w:hAnsi="Liberation Serif" w:cs="Liberation Serif"/>
          <w:sz w:val="28"/>
          <w:szCs w:val="28"/>
        </w:rPr>
        <w:br/>
        <w:t>и педагогические науки»;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государственными органами, выполняющими функции учредителей, – </w:t>
      </w:r>
      <w:r>
        <w:rPr>
          <w:rFonts w:ascii="Liberation Serif" w:hAnsi="Liberation Serif" w:cs="Liberation Serif"/>
          <w:sz w:val="28"/>
          <w:szCs w:val="28"/>
        </w:rPr>
        <w:br/>
        <w:t>для образовательных организаций, которые не являются подведомственными Министерству образовательными организациями;</w:t>
      </w:r>
    </w:p>
    <w:p w:rsidR="0003350E" w:rsidRDefault="0073169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15. Предложения образовательной организации по установлению КЦП предоставляются только по профессиям и специальностям, указанным </w:t>
      </w:r>
      <w:r>
        <w:rPr>
          <w:rFonts w:ascii="Liberation Serif" w:hAnsi="Liberation Serif" w:cs="Liberation Serif"/>
          <w:sz w:val="28"/>
          <w:szCs w:val="28"/>
        </w:rPr>
        <w:br/>
        <w:t>в приложении к лицензии на осуществление образовательной деятельности.</w:t>
      </w:r>
    </w:p>
    <w:p w:rsidR="0003350E" w:rsidRPr="00D60ADF" w:rsidRDefault="00731694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D60ADF">
        <w:rPr>
          <w:rFonts w:ascii="Liberation Serif" w:hAnsi="Liberation Serif" w:cs="Liberation Serif"/>
          <w:b/>
          <w:sz w:val="28"/>
          <w:szCs w:val="28"/>
        </w:rPr>
        <w:t xml:space="preserve">16. Заявка, поступившая после истечения срока подачи </w:t>
      </w:r>
      <w:r w:rsidRPr="00D60ADF">
        <w:rPr>
          <w:rFonts w:ascii="Liberation Serif" w:hAnsi="Liberation Serif" w:cs="Liberation Serif"/>
          <w:b/>
          <w:sz w:val="28"/>
          <w:szCs w:val="28"/>
        </w:rPr>
        <w:br/>
        <w:t>или оформленная с нарушением требований к содержанию и оформлению заявки, к участию в конкурсе не допускается.</w:t>
      </w:r>
    </w:p>
    <w:p w:rsidR="0003350E" w:rsidRPr="00D60ADF" w:rsidRDefault="00731694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D60ADF">
        <w:rPr>
          <w:rFonts w:ascii="Liberation Serif" w:hAnsi="Liberation Serif" w:cs="Liberation Serif"/>
          <w:b/>
          <w:sz w:val="28"/>
          <w:szCs w:val="28"/>
        </w:rPr>
        <w:t xml:space="preserve">17. Заявка не допускается к участию в конкурсе по соответствующим профессиям, специальностям в случаях выявления конкурсной комиссией </w:t>
      </w:r>
      <w:r w:rsidR="00D60ADF">
        <w:rPr>
          <w:rFonts w:ascii="Liberation Serif" w:hAnsi="Liberation Serif" w:cs="Liberation Serif"/>
          <w:b/>
          <w:sz w:val="28"/>
          <w:szCs w:val="28"/>
        </w:rPr>
        <w:br/>
      </w:r>
      <w:bookmarkStart w:id="0" w:name="_GoBack"/>
      <w:bookmarkEnd w:id="0"/>
      <w:r w:rsidRPr="00D60ADF">
        <w:rPr>
          <w:rFonts w:ascii="Liberation Serif" w:hAnsi="Liberation Serif" w:cs="Liberation Serif"/>
          <w:b/>
          <w:sz w:val="28"/>
          <w:szCs w:val="28"/>
        </w:rPr>
        <w:t>в заявке: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1) нарушения срока подачи заявки, установленного правилами проведения конкурса;</w:t>
      </w:r>
    </w:p>
    <w:p w:rsidR="0003350E" w:rsidRDefault="00731694">
      <w:pPr>
        <w:autoSpaceDE w:val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2) предложений по установлению КЦП по профессиям, специальностям, отсутствующим в приложении к лицензии на осуществление образовательной деятельности;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3) предложений по установлению КЦП по профессиям, специальностям для обучения по не имеющим государственной аккредитации образовательным программам, по которым ранее проводилась государственная аккредитация;</w:t>
      </w:r>
    </w:p>
    <w:p w:rsidR="0003350E" w:rsidRDefault="00731694">
      <w:pPr>
        <w:autoSpaceDE w:val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4) предложений, не указанных в обязательстве в соответствии с пунктом 15 настоящей методики, по установлению КЦП по профессиям, специальностям;</w:t>
      </w:r>
    </w:p>
    <w:p w:rsidR="0003350E" w:rsidRDefault="00731694">
      <w:pPr>
        <w:autoSpaceDE w:val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5) несогласованного обязательства, указанного в пункте 15 настоящей методики, в случае если заявка содержит предложения по установлению КЦП </w:t>
      </w:r>
      <w:r>
        <w:rPr>
          <w:rFonts w:ascii="Liberation Serif" w:hAnsi="Liberation Serif" w:cs="Liberation Serif"/>
          <w:sz w:val="28"/>
          <w:szCs w:val="28"/>
        </w:rPr>
        <w:br/>
        <w:t>для обучения по не имеющим государственной аккредитации образовательным программам, по которым аккредитация ранее не проводилась;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6) неполного пакета документов в соответствии с установленными требованиями к составу и оформлению заявки;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7) предложений по установлению КЦП по профессиям, специальностям, </w:t>
      </w:r>
      <w:r>
        <w:rPr>
          <w:rFonts w:ascii="Liberation Serif" w:hAnsi="Liberation Serif" w:cs="Liberation Serif"/>
          <w:sz w:val="28"/>
          <w:szCs w:val="28"/>
        </w:rPr>
        <w:br/>
        <w:t>по которым федеральный государственный образовательный стандарт среднего профессионального образования признан утратившим силу или отменен;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8) недостоверной информации.</w:t>
      </w:r>
    </w:p>
    <w:p w:rsidR="0003350E" w:rsidRDefault="0073169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18. Распределение КЦП осуществляется в зависимости от значений критериев потенциала образовательных организаций по соответствующей профессии и специальности, рассчитываемых в соответствии с настоящей методикой и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критериями принятия решения о распределении КЦП </w:t>
      </w:r>
      <w:r>
        <w:rPr>
          <w:rFonts w:ascii="Liberation Serif" w:hAnsi="Liberation Serif" w:cs="Liberation Serif"/>
          <w:sz w:val="28"/>
          <w:szCs w:val="28"/>
        </w:rPr>
        <w:br/>
        <w:t>в образовательные организации, на обучение по профессиям, специальностям среднего профессионального образования за счет бюджетных ассигнований областного бюджета на 2024/2025 учебный год.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19. Образовательная организация не вправе отказаться от установленных контрольных цифр приема.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20. При наличии не распределенных по итогам конкурса КЦП конкурсная комиссия в отношении каждой укрупненной группы профессий, специальностей принимает одно из следующих решений: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1) распределить нераспределенные КЦП, установленные по профессиям, специальностям, в пользу специальностей или в пределах одной укрупненной группы профессий, специальностей в рамках имеющихся заявок;</w:t>
      </w:r>
    </w:p>
    <w:p w:rsidR="0003350E" w:rsidRDefault="00731694">
      <w:pPr>
        <w:autoSpaceDE w:val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2) распределить нераспределенные КЦП внутри укрупненной группы профессий, специальностей между образовательными организациями с учетом потребности экономики Свердловской области и работодателей в рамках имеющихся заявок;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3) провести повторный конкурс;</w:t>
      </w:r>
    </w:p>
    <w:p w:rsidR="0003350E" w:rsidRDefault="00731694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4) оставить нераспределенные КЦП без распределения.</w:t>
      </w:r>
    </w:p>
    <w:p w:rsidR="0003350E" w:rsidRDefault="0073169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21. На основании результатов конкурса Министерство в срок</w:t>
      </w:r>
      <w:r>
        <w:rPr>
          <w:rFonts w:ascii="Liberation Serif" w:hAnsi="Liberation Serif" w:cs="Liberation Serif"/>
          <w:sz w:val="28"/>
          <w:szCs w:val="28"/>
        </w:rPr>
        <w:br/>
        <w:t>до 1 октября 2023 года издает приказ об установлении образовательным организациям КЦП на 2024/2025 учебный год.</w:t>
      </w:r>
    </w:p>
    <w:p w:rsidR="0003350E" w:rsidRDefault="0003350E">
      <w:pPr>
        <w:pageBreakBefore/>
        <w:rPr>
          <w:color w:val="FF0000"/>
          <w:sz w:val="2"/>
          <w:szCs w:val="2"/>
        </w:rPr>
      </w:pPr>
    </w:p>
    <w:sectPr w:rsidR="0003350E">
      <w:headerReference w:type="default" r:id="rId6"/>
      <w:pgSz w:w="11906" w:h="16838"/>
      <w:pgMar w:top="1134" w:right="567" w:bottom="851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1EC" w:rsidRDefault="005D11EC">
      <w:r>
        <w:separator/>
      </w:r>
    </w:p>
  </w:endnote>
  <w:endnote w:type="continuationSeparator" w:id="0">
    <w:p w:rsidR="005D11EC" w:rsidRDefault="005D1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1EC" w:rsidRDefault="005D11EC">
      <w:r>
        <w:rPr>
          <w:color w:val="000000"/>
        </w:rPr>
        <w:separator/>
      </w:r>
    </w:p>
  </w:footnote>
  <w:footnote w:type="continuationSeparator" w:id="0">
    <w:p w:rsidR="005D11EC" w:rsidRDefault="005D1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E14" w:rsidRDefault="00731694">
    <w:pPr>
      <w:pStyle w:val="a4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D60ADF">
      <w:rPr>
        <w:rFonts w:ascii="Liberation Serif" w:hAnsi="Liberation Serif" w:cs="Liberation Serif"/>
        <w:noProof/>
        <w:sz w:val="28"/>
        <w:szCs w:val="28"/>
      </w:rPr>
      <w:t>6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50E"/>
    <w:rsid w:val="0003350E"/>
    <w:rsid w:val="005D11EC"/>
    <w:rsid w:val="00731694"/>
    <w:rsid w:val="00CB3941"/>
    <w:rsid w:val="00D6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CFBA2"/>
  <w15:docId w15:val="{CE9214BB-5919-4AFA-B66A-2A066285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Arial" w:eastAsia="Times New Roman" w:hAnsi="Arial" w:cs="Arial"/>
      <w:b/>
      <w:bCs/>
      <w:kern w:val="3"/>
      <w:sz w:val="32"/>
      <w:szCs w:val="32"/>
      <w:lang w:eastAsia="ru-RU"/>
    </w:rPr>
  </w:style>
  <w:style w:type="paragraph" w:customStyle="1" w:styleId="a3">
    <w:name w:val="Прижатый влево"/>
    <w:basedOn w:val="a"/>
    <w:next w:val="a"/>
    <w:pPr>
      <w:autoSpaceDE w:val="0"/>
    </w:pPr>
    <w:rPr>
      <w:rFonts w:ascii="Arial" w:hAnsi="Arial"/>
      <w:sz w:val="20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pPr>
      <w:ind w:left="720"/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Placeholder Text"/>
    <w:basedOn w:val="a0"/>
    <w:rPr>
      <w:color w:val="808080"/>
    </w:rPr>
  </w:style>
  <w:style w:type="character" w:customStyle="1" w:styleId="ac">
    <w:name w:val="Гипертекстовая ссылка"/>
    <w:basedOn w:val="a0"/>
    <w:rPr>
      <w:color w:val="106BBE"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hAnsi="Times New Roman"/>
      <w:color w:val="000000"/>
      <w:sz w:val="24"/>
      <w:szCs w:val="24"/>
    </w:rPr>
  </w:style>
  <w:style w:type="character" w:styleId="ad">
    <w:name w:val="Hyperlink"/>
    <w:basedOn w:val="a0"/>
    <w:rPr>
      <w:color w:val="0563C1"/>
      <w:u w:val="single"/>
    </w:rPr>
  </w:style>
  <w:style w:type="paragraph" w:styleId="ae">
    <w:name w:val="footnote text"/>
    <w:basedOn w:val="a"/>
    <w:rPr>
      <w:sz w:val="20"/>
      <w:szCs w:val="20"/>
    </w:rPr>
  </w:style>
  <w:style w:type="character" w:customStyle="1" w:styleId="af">
    <w:name w:val="Текст сноски Знак"/>
    <w:basedOn w:val="a0"/>
    <w:rPr>
      <w:rFonts w:ascii="Times New Roman" w:eastAsia="Times New Roman" w:hAnsi="Times New Roman"/>
      <w:sz w:val="20"/>
      <w:szCs w:val="20"/>
      <w:lang w:eastAsia="ru-RU"/>
    </w:rPr>
  </w:style>
  <w:style w:type="character" w:styleId="af0">
    <w:name w:val="footnote reference"/>
    <w:basedOn w:val="a0"/>
    <w:rPr>
      <w:position w:val="0"/>
      <w:vertAlign w:val="superscript"/>
    </w:rPr>
  </w:style>
  <w:style w:type="paragraph" w:styleId="af1">
    <w:name w:val="No Spacing"/>
    <w:pPr>
      <w:suppressAutoHyphens/>
      <w:spacing w:after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basedOn w:val="a0"/>
    <w:rPr>
      <w:sz w:val="16"/>
      <w:szCs w:val="16"/>
    </w:rPr>
  </w:style>
  <w:style w:type="paragraph" w:styleId="af3">
    <w:name w:val="annotation text"/>
    <w:basedOn w:val="a"/>
    <w:rPr>
      <w:sz w:val="20"/>
      <w:szCs w:val="20"/>
    </w:rPr>
  </w:style>
  <w:style w:type="character" w:customStyle="1" w:styleId="af4">
    <w:name w:val="Текст примечания Знак"/>
    <w:basedOn w:val="a0"/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rPr>
      <w:b/>
      <w:bCs/>
    </w:rPr>
  </w:style>
  <w:style w:type="character" w:customStyle="1" w:styleId="af6">
    <w:name w:val="Тема примечания Знак"/>
    <w:basedOn w:val="af4"/>
    <w:rPr>
      <w:rFonts w:ascii="Times New Roman" w:eastAsia="Times New Roman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Коваленко Елена Николаевна</dc:creator>
  <cp:lastModifiedBy>Терентьева Юлия Викторовна</cp:lastModifiedBy>
  <cp:revision>3</cp:revision>
  <cp:lastPrinted>2023-06-30T03:28:00Z</cp:lastPrinted>
  <dcterms:created xsi:type="dcterms:W3CDTF">2023-06-30T07:17:00Z</dcterms:created>
  <dcterms:modified xsi:type="dcterms:W3CDTF">2023-06-30T07:35:00Z</dcterms:modified>
</cp:coreProperties>
</file>